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2" w:rsidRDefault="007A234D" w:rsidP="007A234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3A144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7A234D" w:rsidP="007A234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3A1444">
        <w:rPr>
          <w:rFonts w:ascii="Arial" w:hAnsi="Arial" w:cs="Arial"/>
          <w:b/>
          <w:sz w:val="32"/>
          <w:szCs w:val="32"/>
        </w:rPr>
        <w:t>ПОСТАНОВЛЕНИЕ</w:t>
      </w:r>
    </w:p>
    <w:p w:rsidR="003A1444" w:rsidRDefault="003A1444" w:rsidP="003A1444">
      <w:pPr>
        <w:jc w:val="both"/>
        <w:rPr>
          <w:bCs/>
          <w:sz w:val="22"/>
        </w:rPr>
      </w:pPr>
    </w:p>
    <w:p w:rsidR="007A234D" w:rsidRDefault="007A234D" w:rsidP="007A234D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23 января 2023г.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sz w:val="32"/>
          <w:szCs w:val="32"/>
        </w:rPr>
        <w:t>№  2</w:t>
      </w:r>
    </w:p>
    <w:p w:rsidR="007A234D" w:rsidRDefault="007A234D" w:rsidP="007A234D">
      <w:pPr>
        <w:rPr>
          <w:b/>
          <w:bCs/>
          <w:sz w:val="28"/>
          <w:szCs w:val="28"/>
        </w:rPr>
      </w:pPr>
      <w:r>
        <w:rPr>
          <w:bCs/>
          <w:sz w:val="22"/>
        </w:rPr>
        <w:t xml:space="preserve">    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Быковского сельсовета </w:t>
      </w:r>
      <w:proofErr w:type="spellStart"/>
      <w:r>
        <w:rPr>
          <w:b/>
          <w:bCs/>
          <w:sz w:val="28"/>
          <w:szCs w:val="28"/>
        </w:rPr>
        <w:t>Горшеченского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№ 50 от 30.12.2022 года «Об утверждении перечня главных администраторов доходов бюджета муниципального образования  «Быковский сельсовет» </w:t>
      </w:r>
      <w:proofErr w:type="spellStart"/>
      <w:r>
        <w:rPr>
          <w:b/>
          <w:bCs/>
          <w:sz w:val="28"/>
          <w:szCs w:val="28"/>
        </w:rPr>
        <w:t>Горшеченского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области»</w:t>
      </w:r>
    </w:p>
    <w:p w:rsidR="007A234D" w:rsidRDefault="007A234D" w:rsidP="007A234D">
      <w:pPr>
        <w:jc w:val="both"/>
        <w:rPr>
          <w:bCs/>
          <w:sz w:val="28"/>
          <w:szCs w:val="28"/>
        </w:rPr>
      </w:pPr>
    </w:p>
    <w:p w:rsidR="007A234D" w:rsidRDefault="007A234D" w:rsidP="007A234D">
      <w:pPr>
        <w:ind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постановлением Правительства Российской Федерации от 16.09.2021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>
        <w:rPr>
          <w:bCs/>
          <w:sz w:val="28"/>
          <w:szCs w:val="28"/>
        </w:rPr>
        <w:t xml:space="preserve"> страхования, местного бюджета», пунктом 3.2 статьи 160.1 Бюджетного кодекса Российской Федерации, руководствуясь Уставом МО «Быковский сельсовет»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№ 308-р от 19 августа 2005 года зарегистрирован Главным управлением Министерства юстиции Российской Федерации по Центральному Федеральному округу 25 октября 2005 г., государственный регистрационный № 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465043032005001</w:t>
      </w:r>
    </w:p>
    <w:p w:rsidR="007A234D" w:rsidRDefault="007A234D" w:rsidP="007A234D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</w:t>
      </w:r>
    </w:p>
    <w:p w:rsidR="007A234D" w:rsidRDefault="007A234D" w:rsidP="007A23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ПОСТАНОВЛЯЕТ:</w:t>
      </w:r>
    </w:p>
    <w:p w:rsidR="007A234D" w:rsidRDefault="007A234D" w:rsidP="007A234D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прилагаемые изменения, которые вносятся в  перечень  главных администраторов доходов Бюджета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области, утвержденный постановлением Администрации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от 30 декабря 2022г. № 50 (приложение №1).</w:t>
      </w:r>
    </w:p>
    <w:p w:rsidR="007A234D" w:rsidRDefault="007A234D" w:rsidP="007A234D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применяется к правоотношениям, возникшим при составлении и исполнении Бюджета Быковского сельсовета </w:t>
      </w:r>
      <w:proofErr w:type="spellStart"/>
      <w:r>
        <w:rPr>
          <w:bCs/>
          <w:sz w:val="28"/>
          <w:szCs w:val="28"/>
        </w:rPr>
        <w:t>Горшеченского</w:t>
      </w:r>
      <w:proofErr w:type="spellEnd"/>
      <w:r>
        <w:rPr>
          <w:bCs/>
          <w:sz w:val="28"/>
          <w:szCs w:val="28"/>
        </w:rPr>
        <w:t xml:space="preserve"> района Курской области на 2023 год и на плановый период 2024 и 2025 годов.</w:t>
      </w:r>
    </w:p>
    <w:p w:rsidR="007A234D" w:rsidRDefault="007A234D" w:rsidP="007A23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7A234D" w:rsidRDefault="007A234D" w:rsidP="007A23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C14AD" w:rsidRPr="007A234D" w:rsidRDefault="007A234D" w:rsidP="007A2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Быковского  сельсовета                                            О.С. </w:t>
      </w:r>
      <w:proofErr w:type="spellStart"/>
      <w:r>
        <w:rPr>
          <w:sz w:val="28"/>
          <w:szCs w:val="28"/>
        </w:rPr>
        <w:t>Иноземцева</w:t>
      </w:r>
      <w:proofErr w:type="spellEnd"/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«Быковского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7A234D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№</w:t>
      </w:r>
      <w:r w:rsidR="007A234D">
        <w:rPr>
          <w:rFonts w:ascii="Arial" w:hAnsi="Arial" w:cs="Arial"/>
        </w:rPr>
        <w:t xml:space="preserve"> 2</w:t>
      </w:r>
      <w:r w:rsidRPr="002D6295">
        <w:rPr>
          <w:rFonts w:ascii="Arial" w:hAnsi="Arial" w:cs="Arial"/>
        </w:rPr>
        <w:t xml:space="preserve"> от</w:t>
      </w:r>
      <w:r w:rsidR="00E547FE">
        <w:rPr>
          <w:rFonts w:ascii="Arial" w:hAnsi="Arial" w:cs="Arial"/>
        </w:rPr>
        <w:t xml:space="preserve"> </w:t>
      </w:r>
      <w:r w:rsidR="007A234D">
        <w:rPr>
          <w:rFonts w:ascii="Arial" w:hAnsi="Arial" w:cs="Arial"/>
        </w:rPr>
        <w:t>23</w:t>
      </w:r>
      <w:r w:rsidR="00E547FE">
        <w:rPr>
          <w:rFonts w:ascii="Arial" w:hAnsi="Arial" w:cs="Arial"/>
        </w:rPr>
        <w:t xml:space="preserve"> </w:t>
      </w:r>
      <w:r w:rsidR="007A234D">
        <w:rPr>
          <w:rFonts w:ascii="Arial" w:hAnsi="Arial" w:cs="Arial"/>
        </w:rPr>
        <w:t>января</w:t>
      </w:r>
      <w:r w:rsidR="00E547FE">
        <w:rPr>
          <w:rFonts w:ascii="Arial" w:hAnsi="Arial" w:cs="Arial"/>
        </w:rPr>
        <w:t xml:space="preserve"> 202</w:t>
      </w:r>
      <w:r w:rsidR="007A234D">
        <w:rPr>
          <w:rFonts w:ascii="Arial" w:hAnsi="Arial" w:cs="Arial"/>
        </w:rPr>
        <w:t>3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</w:p>
    <w:p w:rsidR="00C85D9F" w:rsidRPr="002D6295" w:rsidRDefault="007A234D" w:rsidP="00C85D9F">
      <w:pPr>
        <w:pStyle w:val="a4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внесении изменений в постановление №50 от 30.12.2022г»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C85D9F" w:rsidP="00707CA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-49"/>
        <w:tblW w:w="10853" w:type="dxa"/>
        <w:tblLayout w:type="fixed"/>
        <w:tblLook w:val="0000"/>
      </w:tblPr>
      <w:tblGrid>
        <w:gridCol w:w="1008"/>
        <w:gridCol w:w="93"/>
        <w:gridCol w:w="2643"/>
        <w:gridCol w:w="50"/>
        <w:gridCol w:w="6924"/>
        <w:gridCol w:w="25"/>
        <w:gridCol w:w="40"/>
        <w:gridCol w:w="40"/>
        <w:gridCol w:w="30"/>
      </w:tblGrid>
      <w:tr w:rsidR="00C85D9F" w:rsidTr="003F1F9E">
        <w:trPr>
          <w:tblHeader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главного администратора доходов  бюджета </w:t>
            </w:r>
            <w:r>
              <w:rPr>
                <w:bCs/>
              </w:rPr>
              <w:t>поселения</w:t>
            </w:r>
          </w:p>
        </w:tc>
      </w:tr>
      <w:tr w:rsidR="00C85D9F" w:rsidTr="003F1F9E">
        <w:trPr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color w:val="000000"/>
              </w:rPr>
              <w:t>админи-стратора</w:t>
            </w:r>
            <w:proofErr w:type="spellEnd"/>
            <w:proofErr w:type="gramEnd"/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bCs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70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tabs>
                <w:tab w:val="left" w:pos="6156"/>
              </w:tabs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b/>
                <w:color w:val="000000"/>
              </w:rPr>
              <w:t xml:space="preserve">Администрация Быковского сельсовета </w:t>
            </w:r>
            <w:proofErr w:type="spellStart"/>
            <w:r>
              <w:rPr>
                <w:b/>
                <w:color w:val="000000"/>
              </w:rPr>
              <w:t>Горшеченского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D84A95" w:rsidRDefault="00C85D9F" w:rsidP="003F1F9E">
            <w:pPr>
              <w:rPr>
                <w:bCs/>
                <w:color w:val="000000"/>
              </w:rPr>
            </w:pPr>
            <w:r w:rsidRPr="00D84A95">
              <w:rPr>
                <w:bCs/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bCs/>
                <w:color w:val="000000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1 08 07175 01 0000 110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D84A9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1 11 02085 10 0000 120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1 11 03050 10 0000 120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1 11 05027 10 0000 120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1 11 05035 10 0000 120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1 11 05075 10 0000 120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1 11 07015 10 0000 120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111 05093 10 0000 120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 xml:space="preserve">111 05325 10 0000 120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1 11 08050 10 0000 120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интеллектуальной деятельности военного</w:t>
            </w:r>
            <w:proofErr w:type="gramStart"/>
            <w:r>
              <w:t xml:space="preserve"> ,</w:t>
            </w:r>
            <w:proofErr w:type="gramEnd"/>
            <w:r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111 09045 10 0000 120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111 09035 10 0000 120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112 04051 10 0000  120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proofErr w:type="gramStart"/>
            <w: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112 04052 10 0000  120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Плата за </w:t>
            </w:r>
            <w:proofErr w:type="gramStart"/>
            <w:r>
              <w:t>использовании</w:t>
            </w:r>
            <w:proofErr w:type="gramEnd"/>
            <w:r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112 05050 10 0000  120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1 13 01076 10 0000 130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1 13 01995 10 0000 130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113 01540 10 0000  130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1 13 02065 10 0000 130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поступающие в порядке возмещения расходов, </w:t>
            </w:r>
            <w: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lastRenderedPageBreak/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1 14 01050 10 0000 410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1 14 02058 10 0000 410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1 14 05052 10 0000 440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1 14 04050 10 0000 420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1 14 06033 10 0000 430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1 14 06045 10 0000 430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114 06325 10 0000 430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1 14 14040 10 0000 410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1 14  14040 10 0000 440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1 15 02050 10 0000 140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6" w:anchor="dst100376" w:history="1">
              <w:r>
                <w:rPr>
                  <w:rStyle w:val="a5"/>
                  <w:rFonts w:ascii="Arial" w:hAnsi="Arial" w:cs="Arial"/>
                  <w:snapToGrid w:val="0"/>
                  <w:sz w:val="22"/>
                  <w:szCs w:val="22"/>
                </w:rPr>
                <w:t>главой 7</w:t>
              </w:r>
            </w:hyperlink>
            <w:r>
              <w:rPr>
                <w:rFonts w:ascii="Arial" w:hAnsi="Arial" w:cs="Arial"/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Платежи в целях возмещения убытков, причиненных уклонением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1 16 10123 01 0000 140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1 17 01050 10 0000 180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1 17 02020 10 0000 180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1 17 05050 10 0000 180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2 00  00000 00 0000 000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2 07 05030 10 0000 150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2 08 05000 10 0000 150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t xml:space="preserve"> ,</w:t>
            </w:r>
            <w:proofErr w:type="gramEnd"/>
            <w:r>
              <w:t xml:space="preserve">начисленных на </w:t>
            </w:r>
            <w:r>
              <w:lastRenderedPageBreak/>
              <w:t>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</w:tbl>
    <w:p w:rsidR="00C85D9F" w:rsidRPr="00707CAF" w:rsidRDefault="00C85D9F" w:rsidP="00707CAF">
      <w:pPr>
        <w:tabs>
          <w:tab w:val="left" w:pos="9921"/>
        </w:tabs>
        <w:ind w:right="140"/>
        <w:rPr>
          <w:color w:val="00000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tbl>
      <w:tblPr>
        <w:tblW w:w="10635" w:type="dxa"/>
        <w:tblInd w:w="-601" w:type="dxa"/>
        <w:tblLayout w:type="fixed"/>
        <w:tblLook w:val="04A0"/>
      </w:tblPr>
      <w:tblGrid>
        <w:gridCol w:w="1843"/>
        <w:gridCol w:w="2697"/>
        <w:gridCol w:w="6095"/>
      </w:tblGrid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22"/>
              </w:rPr>
              <w:t>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707CAF">
            <w:pP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>Управление Федеральной налоговой службы по Курской области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1 01 02020 01 0000 110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 xml:space="preserve">182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1 01 02030 01 0000 110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1 05 01011 01 0000 110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1 05 01021 01 0000 110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1 05 01050 01 0000 110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1 05 02010 02 0000 110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налог на вмененный доход для отдельных видов деятельности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сельскохозяйственный налог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1 05 04020 02 0000 110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1 08 03010 01 0000 110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9C20CE" w:rsidRDefault="009C20CE" w:rsidP="009C20CE">
      <w:pPr>
        <w:rPr>
          <w:rFonts w:ascii="Arial" w:eastAsia="Arial" w:hAnsi="Arial"/>
          <w:sz w:val="22"/>
          <w:szCs w:val="20"/>
        </w:rPr>
      </w:pPr>
      <w:r>
        <w:rPr>
          <w:rFonts w:ascii="Arial" w:eastAsia="Arial" w:hAnsi="Arial"/>
          <w:sz w:val="22"/>
        </w:rPr>
        <w:t xml:space="preserve">              </w:t>
      </w:r>
      <w:bookmarkStart w:id="0" w:name="_GoBack"/>
      <w:bookmarkEnd w:id="0"/>
    </w:p>
    <w:p w:rsidR="009C20CE" w:rsidRDefault="009C20CE" w:rsidP="009C20CE">
      <w:pPr>
        <w:pStyle w:val="10"/>
        <w:tabs>
          <w:tab w:val="left" w:pos="1620"/>
        </w:tabs>
        <w:rPr>
          <w:rStyle w:val="2"/>
          <w:rFonts w:eastAsia="Arial"/>
        </w:rPr>
      </w:pPr>
    </w:p>
    <w:p w:rsidR="009C20CE" w:rsidRDefault="009C20CE" w:rsidP="009C20CE">
      <w:pPr>
        <w:pStyle w:val="a8"/>
        <w:rPr>
          <w:rStyle w:val="2"/>
          <w:rFonts w:ascii="Arial" w:eastAsia="Arial" w:hAnsi="Arial"/>
          <w:sz w:val="22"/>
        </w:rPr>
      </w:pPr>
      <w:r>
        <w:rPr>
          <w:rStyle w:val="2"/>
          <w:rFonts w:ascii="Arial" w:eastAsia="Arial" w:hAnsi="Arial"/>
          <w:sz w:val="22"/>
        </w:rPr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4DF4"/>
    <w:multiLevelType w:val="hybridMultilevel"/>
    <w:tmpl w:val="094C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9F"/>
    <w:rsid w:val="00054714"/>
    <w:rsid w:val="000A6C7C"/>
    <w:rsid w:val="000F02E2"/>
    <w:rsid w:val="001123FE"/>
    <w:rsid w:val="001E69EA"/>
    <w:rsid w:val="0024603C"/>
    <w:rsid w:val="00266496"/>
    <w:rsid w:val="002D6295"/>
    <w:rsid w:val="00380277"/>
    <w:rsid w:val="003A1444"/>
    <w:rsid w:val="003A66FA"/>
    <w:rsid w:val="004C1728"/>
    <w:rsid w:val="004E0CA3"/>
    <w:rsid w:val="004E41CD"/>
    <w:rsid w:val="00596016"/>
    <w:rsid w:val="00621517"/>
    <w:rsid w:val="00707CAF"/>
    <w:rsid w:val="0078073F"/>
    <w:rsid w:val="007A234D"/>
    <w:rsid w:val="0087417C"/>
    <w:rsid w:val="009C14AD"/>
    <w:rsid w:val="009C20CE"/>
    <w:rsid w:val="00B30D52"/>
    <w:rsid w:val="00C85D9F"/>
    <w:rsid w:val="00D04FBF"/>
    <w:rsid w:val="00DF50C6"/>
    <w:rsid w:val="00E5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9C20CE"/>
  </w:style>
  <w:style w:type="paragraph" w:styleId="a9">
    <w:name w:val="List Paragraph"/>
    <w:basedOn w:val="a"/>
    <w:uiPriority w:val="34"/>
    <w:qFormat/>
    <w:rsid w:val="007A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5717/a964ea800eaa74c96cf8a9c7731a071da06f4a8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7BE5-30F0-49F8-95DB-A721319B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2021-12-16T11:38:00Z</dcterms:created>
  <dcterms:modified xsi:type="dcterms:W3CDTF">2023-01-23T11:52:00Z</dcterms:modified>
</cp:coreProperties>
</file>